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209" w:lineRule="exact"/>
        <w:rPr>
          <w:sz w:val="24"/>
          <w:szCs w:val="24"/>
          <w:color w:val="auto"/>
        </w:rPr>
      </w:pPr>
    </w:p>
    <w:p>
      <w:pPr>
        <w:ind w:left="5180"/>
        <w:spacing w:after="0"/>
        <w:rPr>
          <w:sz w:val="20"/>
          <w:szCs w:val="20"/>
          <w:color w:val="auto"/>
        </w:rPr>
      </w:pPr>
      <w:r>
        <w:rPr>
          <w:rFonts w:ascii="Arial" w:cs="Arial" w:eastAsia="Arial" w:hAnsi="Arial"/>
          <w:sz w:val="22"/>
          <w:szCs w:val="22"/>
          <w:b w:val="1"/>
          <w:bCs w:val="1"/>
          <w:color w:val="auto"/>
        </w:rPr>
        <w:t>FORM 6-K</w:t>
      </w:r>
    </w:p>
    <w:p>
      <w:pPr>
        <w:spacing w:after="0" w:line="200" w:lineRule="exact"/>
        <w:rPr>
          <w:sz w:val="24"/>
          <w:szCs w:val="24"/>
          <w:color w:val="auto"/>
        </w:rPr>
      </w:pPr>
    </w:p>
    <w:p>
      <w:pPr>
        <w:spacing w:after="0" w:line="23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Short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39"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22"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(Exact name of Registrant as specified in its Charter)</w:t>
      </w:r>
    </w:p>
    <w:p>
      <w:pPr>
        <w:spacing w:after="0" w:line="203"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22"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(Translation of Registrant’s name into English)</w:t>
      </w:r>
    </w:p>
    <w:p>
      <w:pPr>
        <w:spacing w:after="0" w:line="216"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ind w:left="3980"/>
        <w:spacing w:after="0"/>
        <w:rPr>
          <w:sz w:val="20"/>
          <w:szCs w:val="20"/>
          <w:color w:val="auto"/>
        </w:rPr>
      </w:pPr>
      <w:r>
        <w:rPr>
          <w:rFonts w:ascii="Arial" w:cs="Arial" w:eastAsia="Arial" w:hAnsi="Arial"/>
          <w:sz w:val="16"/>
          <w:szCs w:val="16"/>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53"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64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22" w:lineRule="exact"/>
        <w:rPr>
          <w:sz w:val="24"/>
          <w:szCs w:val="24"/>
          <w:color w:val="auto"/>
        </w:rPr>
      </w:pPr>
    </w:p>
    <w:p>
      <w:pPr>
        <w:ind w:left="520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1"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22" w:lineRule="exact"/>
        <w:rPr>
          <w:sz w:val="24"/>
          <w:szCs w:val="24"/>
          <w:color w:val="auto"/>
        </w:rPr>
      </w:pPr>
    </w:p>
    <w:p>
      <w:pPr>
        <w:ind w:left="5180"/>
        <w:spacing w:after="0" w:line="207" w:lineRule="exact"/>
        <w:tabs>
          <w:tab w:leader="none" w:pos="58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203200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220345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537210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69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20, 2017</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640" w:type="dxa"/>
            <w:vAlign w:val="bottom"/>
          </w:tcPr>
          <w:p>
            <w:pPr>
              <w:ind w:left="6040"/>
              <w:spacing w:after="0"/>
              <w:rPr>
                <w:sz w:val="20"/>
                <w:szCs w:val="20"/>
                <w:color w:val="auto"/>
              </w:rPr>
            </w:pPr>
            <w:r>
              <w:rPr>
                <w:rFonts w:ascii="Arial" w:cs="Arial" w:eastAsia="Arial" w:hAnsi="Arial"/>
                <w:sz w:val="18"/>
                <w:szCs w:val="18"/>
                <w:color w:val="auto"/>
              </w:rPr>
              <w:t>By:</w:t>
            </w:r>
          </w:p>
        </w:tc>
        <w:tc>
          <w:tcPr>
            <w:tcW w:w="4780" w:type="dxa"/>
            <w:vAlign w:val="bottom"/>
          </w:tcPr>
          <w:p>
            <w:pPr>
              <w:ind w:left="100"/>
              <w:spacing w:after="0"/>
              <w:rPr>
                <w:sz w:val="20"/>
                <w:szCs w:val="20"/>
                <w:color w:val="auto"/>
              </w:rPr>
            </w:pPr>
            <w:r>
              <w:rPr>
                <w:rFonts w:ascii="Arial" w:cs="Arial" w:eastAsia="Arial" w:hAnsi="Arial"/>
                <w:sz w:val="18"/>
                <w:szCs w:val="18"/>
                <w:color w:val="auto"/>
              </w:rPr>
              <w:t>/s/ Pierre Dulin</w:t>
            </w:r>
          </w:p>
        </w:tc>
      </w:tr>
      <w:tr>
        <w:trPr>
          <w:trHeight w:val="418"/>
        </w:trPr>
        <w:tc>
          <w:tcPr>
            <w:tcW w:w="6640" w:type="dxa"/>
            <w:vAlign w:val="bottom"/>
          </w:tcPr>
          <w:p>
            <w:pPr>
              <w:ind w:left="6040"/>
              <w:spacing w:after="0"/>
              <w:rPr>
                <w:sz w:val="20"/>
                <w:szCs w:val="20"/>
                <w:color w:val="auto"/>
              </w:rPr>
            </w:pPr>
            <w:r>
              <w:rPr>
                <w:rFonts w:ascii="Arial" w:cs="Arial" w:eastAsia="Arial" w:hAnsi="Arial"/>
                <w:sz w:val="18"/>
                <w:szCs w:val="18"/>
                <w:color w:val="auto"/>
              </w:rPr>
              <w:t>Name:</w:t>
            </w:r>
          </w:p>
        </w:tc>
        <w:tc>
          <w:tcPr>
            <w:tcW w:w="4780" w:type="dxa"/>
            <w:vAlign w:val="bottom"/>
          </w:tcPr>
          <w:p>
            <w:pPr>
              <w:ind w:left="100"/>
              <w:spacing w:after="0"/>
              <w:rPr>
                <w:sz w:val="20"/>
                <w:szCs w:val="20"/>
                <w:color w:val="auto"/>
              </w:rPr>
            </w:pPr>
            <w:r>
              <w:rPr>
                <w:rFonts w:ascii="Arial" w:cs="Arial" w:eastAsia="Arial" w:hAnsi="Arial"/>
                <w:sz w:val="18"/>
                <w:szCs w:val="18"/>
                <w:color w:val="auto"/>
              </w:rPr>
              <w:t>Pierre Dulin</w:t>
            </w:r>
          </w:p>
        </w:tc>
      </w:tr>
      <w:tr>
        <w:trPr>
          <w:trHeight w:val="230"/>
        </w:trPr>
        <w:tc>
          <w:tcPr>
            <w:tcW w:w="6640" w:type="dxa"/>
            <w:vAlign w:val="bottom"/>
          </w:tcPr>
          <w:p>
            <w:pPr>
              <w:ind w:left="6040"/>
              <w:spacing w:after="0"/>
              <w:rPr>
                <w:sz w:val="20"/>
                <w:szCs w:val="20"/>
                <w:color w:val="auto"/>
              </w:rPr>
            </w:pPr>
            <w:r>
              <w:rPr>
                <w:rFonts w:ascii="Arial" w:cs="Arial" w:eastAsia="Arial" w:hAnsi="Arial"/>
                <w:sz w:val="18"/>
                <w:szCs w:val="18"/>
                <w:color w:val="auto"/>
              </w:rPr>
              <w:t>Title:</w:t>
            </w:r>
          </w:p>
        </w:tc>
        <w:tc>
          <w:tcPr>
            <w:tcW w:w="4780" w:type="dxa"/>
            <w:vAlign w:val="bottom"/>
          </w:tcPr>
          <w:p>
            <w:pPr>
              <w:ind w:left="100"/>
              <w:spacing w:after="0"/>
              <w:rPr>
                <w:sz w:val="20"/>
                <w:szCs w:val="20"/>
                <w:color w:val="auto"/>
              </w:rPr>
            </w:pPr>
            <w:r>
              <w:rPr>
                <w:rFonts w:ascii="Arial" w:cs="Arial" w:eastAsia="Arial" w:hAnsi="Arial"/>
                <w:sz w:val="18"/>
                <w:szCs w:val="18"/>
                <w:color w:val="auto"/>
              </w:rPr>
              <w:t>General Manager</w:t>
            </w:r>
          </w:p>
        </w:tc>
      </w:tr>
      <w:tr>
        <w:trPr>
          <w:trHeight w:val="918"/>
        </w:trPr>
        <w:tc>
          <w:tcPr>
            <w:tcW w:w="6640" w:type="dxa"/>
            <w:vAlign w:val="bottom"/>
            <w:tcBorders>
              <w:bottom w:val="single" w:sz="8" w:color="auto"/>
            </w:tcBorders>
          </w:tcPr>
          <w:p>
            <w:pPr>
              <w:spacing w:after="0"/>
              <w:rPr>
                <w:sz w:val="24"/>
                <w:szCs w:val="24"/>
                <w:color w:val="auto"/>
              </w:rPr>
            </w:pPr>
          </w:p>
        </w:tc>
        <w:tc>
          <w:tcPr>
            <w:tcW w:w="47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1121"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912495</wp:posOffset>
            </wp:positionV>
            <wp:extent cx="7237730" cy="13036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237730" cy="13036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ind w:left="260" w:right="160"/>
        <w:spacing w:after="0" w:line="275" w:lineRule="auto"/>
        <w:rPr>
          <w:sz w:val="20"/>
          <w:szCs w:val="20"/>
          <w:color w:val="auto"/>
        </w:rPr>
      </w:pPr>
      <w:r>
        <w:rPr>
          <w:rFonts w:ascii="Arial" w:cs="Arial" w:eastAsia="Arial" w:hAnsi="Arial"/>
          <w:sz w:val="18"/>
          <w:szCs w:val="18"/>
          <w:b w:val="1"/>
          <w:bCs w:val="1"/>
          <w:color w:val="auto"/>
        </w:rPr>
        <w:t>BLADEX’S PROFITS FOR THE THIRD QUARTER AND YEAR-TO-DATE 2017 AMOUNTED TO $20.5 MILLION, OR $0.52 PER SHARE, AND $61.4 MILLION, OR $1.56 PER SHARE, RESPECTIVELY, ON LOWER PROVISIONS AND OPERATING EXPENSES</w:t>
      </w:r>
    </w:p>
    <w:p>
      <w:pPr>
        <w:spacing w:after="0" w:line="39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20, 2017</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third quarter (“3Q17”) and nine months (“9M17”) ended September 30, 2017.</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12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6"/>
        </w:trPr>
        <w:tc>
          <w:tcPr>
            <w:tcW w:w="5120" w:type="dxa"/>
            <w:vAlign w:val="bottom"/>
            <w:gridSpan w:val="2"/>
          </w:tcPr>
          <w:p>
            <w:pPr>
              <w:spacing w:after="0"/>
              <w:rPr>
                <w:sz w:val="20"/>
                <w:szCs w:val="20"/>
                <w:color w:val="auto"/>
              </w:rPr>
            </w:pPr>
            <w:r>
              <w:rPr>
                <w:rFonts w:ascii="Arial" w:cs="Arial" w:eastAsia="Arial" w:hAnsi="Arial"/>
                <w:sz w:val="18"/>
                <w:szCs w:val="18"/>
                <w:color w:val="auto"/>
              </w:rPr>
              <w:t>(US$ million, except percentages and per share amounts)</w:t>
            </w:r>
          </w:p>
        </w:tc>
        <w:tc>
          <w:tcPr>
            <w:tcW w:w="200" w:type="dxa"/>
            <w:vAlign w:val="bottom"/>
          </w:tcPr>
          <w:p>
            <w:pPr>
              <w:spacing w:after="0"/>
              <w:rPr>
                <w:sz w:val="24"/>
                <w:szCs w:val="24"/>
                <w:color w:val="auto"/>
              </w:rPr>
            </w:pPr>
          </w:p>
        </w:tc>
        <w:tc>
          <w:tcPr>
            <w:tcW w:w="10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9M17</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9M16</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3Q17</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2Q17</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3Q16</w:t>
            </w:r>
          </w:p>
        </w:tc>
      </w:tr>
      <w:tr>
        <w:trPr>
          <w:trHeight w:val="210"/>
        </w:trPr>
        <w:tc>
          <w:tcPr>
            <w:tcW w:w="50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5120" w:type="dxa"/>
            <w:vAlign w:val="bottom"/>
            <w:gridSpan w:val="2"/>
          </w:tcPr>
          <w:p>
            <w:pPr>
              <w:spacing w:after="0"/>
              <w:rPr>
                <w:sz w:val="20"/>
                <w:szCs w:val="20"/>
                <w:color w:val="auto"/>
              </w:rPr>
            </w:pPr>
            <w:r>
              <w:rPr>
                <w:rFonts w:ascii="Arial" w:cs="Arial" w:eastAsia="Arial" w:hAnsi="Arial"/>
                <w:sz w:val="18"/>
                <w:szCs w:val="18"/>
                <w:color w:val="auto"/>
              </w:rPr>
              <w:t>Total income</w:t>
            </w:r>
          </w:p>
        </w:tc>
        <w:tc>
          <w:tcPr>
            <w:tcW w:w="200" w:type="dxa"/>
            <w:vAlign w:val="bottom"/>
          </w:tcPr>
          <w:p>
            <w:pPr>
              <w:jc w:val="right"/>
              <w:ind w:right="10"/>
              <w:spacing w:after="0"/>
              <w:rPr>
                <w:sz w:val="20"/>
                <w:szCs w:val="20"/>
                <w:color w:val="auto"/>
              </w:rPr>
            </w:pPr>
            <w:r>
              <w:rPr>
                <w:rFonts w:ascii="Arial" w:cs="Arial" w:eastAsia="Arial" w:hAnsi="Arial"/>
                <w:sz w:val="18"/>
                <w:szCs w:val="18"/>
                <w:color w:val="404040"/>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404040"/>
              </w:rPr>
              <w:t>103.8</w:t>
            </w:r>
          </w:p>
        </w:tc>
        <w:tc>
          <w:tcPr>
            <w:tcW w:w="240" w:type="dxa"/>
            <w:vAlign w:val="bottom"/>
            <w:gridSpan w:val="2"/>
          </w:tcPr>
          <w:p>
            <w:pPr>
              <w:jc w:val="right"/>
              <w:ind w:right="25"/>
              <w:spacing w:after="0"/>
              <w:rPr>
                <w:sz w:val="20"/>
                <w:szCs w:val="20"/>
                <w:color w:val="auto"/>
              </w:rPr>
            </w:pPr>
            <w:r>
              <w:rPr>
                <w:rFonts w:ascii="Arial" w:cs="Arial" w:eastAsia="Arial" w:hAnsi="Arial"/>
                <w:sz w:val="18"/>
                <w:szCs w:val="18"/>
                <w:color w:val="404040"/>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404040"/>
              </w:rPr>
              <w:t>124.8</w:t>
            </w:r>
          </w:p>
        </w:tc>
        <w:tc>
          <w:tcPr>
            <w:tcW w:w="260" w:type="dxa"/>
            <w:vAlign w:val="bottom"/>
            <w:gridSpan w:val="2"/>
          </w:tcPr>
          <w:p>
            <w:pPr>
              <w:jc w:val="right"/>
              <w:ind w:right="45"/>
              <w:spacing w:after="0"/>
              <w:rPr>
                <w:sz w:val="20"/>
                <w:szCs w:val="20"/>
                <w:color w:val="auto"/>
              </w:rPr>
            </w:pPr>
            <w:r>
              <w:rPr>
                <w:rFonts w:ascii="Arial" w:cs="Arial" w:eastAsia="Arial" w:hAnsi="Arial"/>
                <w:sz w:val="18"/>
                <w:szCs w:val="18"/>
                <w:color w:val="404040"/>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404040"/>
              </w:rPr>
              <w:t>31.1</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404040"/>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404040"/>
              </w:rPr>
              <w:t>34.4</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404040"/>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404040"/>
              </w:rPr>
              <w:t>43.4</w:t>
            </w:r>
          </w:p>
        </w:tc>
      </w:tr>
      <w:tr>
        <w:trPr>
          <w:trHeight w:val="216"/>
        </w:trPr>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Expenses:</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02"/>
        </w:trPr>
        <w:tc>
          <w:tcPr>
            <w:tcW w:w="5120" w:type="dxa"/>
            <w:vAlign w:val="bottom"/>
            <w:gridSpan w:val="2"/>
          </w:tcPr>
          <w:p>
            <w:pPr>
              <w:ind w:left="180"/>
              <w:spacing w:after="0" w:line="201" w:lineRule="exact"/>
              <w:rPr>
                <w:sz w:val="20"/>
                <w:szCs w:val="20"/>
                <w:color w:val="auto"/>
              </w:rPr>
            </w:pPr>
            <w:r>
              <w:rPr>
                <w:rFonts w:ascii="Arial" w:cs="Arial" w:eastAsia="Arial" w:hAnsi="Arial"/>
                <w:sz w:val="18"/>
                <w:szCs w:val="18"/>
                <w:color w:val="auto"/>
              </w:rPr>
              <w:t>Impairment loss from ECL on loans at amortized cost, loan</w:t>
            </w: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5120" w:type="dxa"/>
            <w:vAlign w:val="bottom"/>
            <w:gridSpan w:val="2"/>
          </w:tcPr>
          <w:p>
            <w:pPr>
              <w:ind w:left="180"/>
              <w:spacing w:after="0"/>
              <w:rPr>
                <w:sz w:val="20"/>
                <w:szCs w:val="20"/>
                <w:color w:val="auto"/>
              </w:rPr>
            </w:pPr>
            <w:r>
              <w:rPr>
                <w:rFonts w:ascii="Arial" w:cs="Arial" w:eastAsia="Arial" w:hAnsi="Arial"/>
                <w:sz w:val="18"/>
                <w:szCs w:val="18"/>
                <w:color w:val="auto"/>
                <w:w w:val="94"/>
              </w:rPr>
              <w:t>commitments and financial guarantees contracts, and investment</w:t>
            </w: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30"/>
        </w:trPr>
        <w:tc>
          <w:tcPr>
            <w:tcW w:w="5120" w:type="dxa"/>
            <w:vAlign w:val="bottom"/>
            <w:gridSpan w:val="2"/>
          </w:tcPr>
          <w:p>
            <w:pPr>
              <w:ind w:left="180"/>
              <w:spacing w:after="0"/>
              <w:rPr>
                <w:sz w:val="20"/>
                <w:szCs w:val="20"/>
                <w:color w:val="auto"/>
              </w:rPr>
            </w:pPr>
            <w:r>
              <w:rPr>
                <w:rFonts w:ascii="Arial" w:cs="Arial" w:eastAsia="Arial" w:hAnsi="Arial"/>
                <w:sz w:val="18"/>
                <w:szCs w:val="18"/>
                <w:color w:val="auto"/>
              </w:rPr>
              <w:t>securities</w:t>
            </w:r>
          </w:p>
        </w:tc>
        <w:tc>
          <w:tcPr>
            <w:tcW w:w="200" w:type="dxa"/>
            <w:vAlign w:val="bottom"/>
          </w:tcPr>
          <w:p>
            <w:pPr>
              <w:jc w:val="right"/>
              <w:ind w:right="10"/>
              <w:spacing w:after="0"/>
              <w:rPr>
                <w:sz w:val="20"/>
                <w:szCs w:val="20"/>
                <w:color w:val="auto"/>
              </w:rPr>
            </w:pPr>
            <w:r>
              <w:rPr>
                <w:rFonts w:ascii="Arial" w:cs="Arial" w:eastAsia="Arial" w:hAnsi="Arial"/>
                <w:sz w:val="18"/>
                <w:szCs w:val="18"/>
                <w:color w:val="404040"/>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404040"/>
              </w:rPr>
              <w:t>8.6</w:t>
            </w:r>
          </w:p>
        </w:tc>
        <w:tc>
          <w:tcPr>
            <w:tcW w:w="240" w:type="dxa"/>
            <w:vAlign w:val="bottom"/>
            <w:gridSpan w:val="2"/>
          </w:tcPr>
          <w:p>
            <w:pPr>
              <w:jc w:val="right"/>
              <w:ind w:right="25"/>
              <w:spacing w:after="0"/>
              <w:rPr>
                <w:sz w:val="20"/>
                <w:szCs w:val="20"/>
                <w:color w:val="auto"/>
              </w:rPr>
            </w:pPr>
            <w:r>
              <w:rPr>
                <w:rFonts w:ascii="Arial" w:cs="Arial" w:eastAsia="Arial" w:hAnsi="Arial"/>
                <w:sz w:val="18"/>
                <w:szCs w:val="18"/>
                <w:color w:val="404040"/>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404040"/>
              </w:rPr>
              <w:t>17.4</w:t>
            </w:r>
          </w:p>
        </w:tc>
        <w:tc>
          <w:tcPr>
            <w:tcW w:w="260" w:type="dxa"/>
            <w:vAlign w:val="bottom"/>
            <w:gridSpan w:val="2"/>
          </w:tcPr>
          <w:p>
            <w:pPr>
              <w:jc w:val="right"/>
              <w:ind w:right="45"/>
              <w:spacing w:after="0"/>
              <w:rPr>
                <w:sz w:val="20"/>
                <w:szCs w:val="20"/>
                <w:color w:val="auto"/>
              </w:rPr>
            </w:pPr>
            <w:r>
              <w:rPr>
                <w:rFonts w:ascii="Arial" w:cs="Arial" w:eastAsia="Arial" w:hAnsi="Arial"/>
                <w:sz w:val="18"/>
                <w:szCs w:val="18"/>
                <w:color w:val="404040"/>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404040"/>
              </w:rPr>
              <w:t>0.7</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404040"/>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404040"/>
              </w:rPr>
              <w:t>4.3</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404040"/>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404040"/>
              </w:rPr>
              <w:t>4.1</w:t>
            </w:r>
          </w:p>
        </w:tc>
      </w:tr>
      <w:tr>
        <w:trPr>
          <w:trHeight w:val="257"/>
        </w:trPr>
        <w:tc>
          <w:tcPr>
            <w:tcW w:w="512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29"/>
                <w:szCs w:val="29"/>
                <w:color w:val="auto"/>
                <w:vertAlign w:val="superscript"/>
              </w:rPr>
              <w:t>(1)</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404040"/>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33.8</w:t>
            </w:r>
          </w:p>
        </w:tc>
        <w:tc>
          <w:tcPr>
            <w:tcW w:w="240" w:type="dxa"/>
            <w:vAlign w:val="bottom"/>
            <w:gridSpan w:val="2"/>
            <w:shd w:val="clear" w:color="auto" w:fill="CCEEFF"/>
          </w:tcPr>
          <w:p>
            <w:pPr>
              <w:jc w:val="right"/>
              <w:ind w:right="25"/>
              <w:spacing w:after="0"/>
              <w:rPr>
                <w:sz w:val="20"/>
                <w:szCs w:val="20"/>
                <w:color w:val="auto"/>
              </w:rPr>
            </w:pPr>
            <w:r>
              <w:rPr>
                <w:rFonts w:ascii="Arial" w:cs="Arial" w:eastAsia="Arial" w:hAnsi="Arial"/>
                <w:sz w:val="18"/>
                <w:szCs w:val="18"/>
                <w:color w:val="404040"/>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33.7</w:t>
            </w:r>
          </w:p>
        </w:tc>
        <w:tc>
          <w:tcPr>
            <w:tcW w:w="26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404040"/>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10.0</w:t>
            </w:r>
          </w:p>
        </w:tc>
        <w:tc>
          <w:tcPr>
            <w:tcW w:w="26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404040"/>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12.6</w:t>
            </w:r>
          </w:p>
        </w:tc>
        <w:tc>
          <w:tcPr>
            <w:tcW w:w="26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404040"/>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404040"/>
              </w:rPr>
              <w:t>11.2</w:t>
            </w:r>
          </w:p>
        </w:tc>
      </w:tr>
      <w:tr>
        <w:trPr>
          <w:trHeight w:val="263"/>
        </w:trPr>
        <w:tc>
          <w:tcPr>
            <w:tcW w:w="51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Profit for the period</w:t>
            </w: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color w:val="404040"/>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404040"/>
              </w:rPr>
              <w:t>61.4</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color w:val="404040"/>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404040"/>
              </w:rPr>
              <w:t>73.7</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color w:val="404040"/>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404040"/>
              </w:rPr>
              <w:t>20.5</w:t>
            </w:r>
          </w:p>
        </w:tc>
        <w:tc>
          <w:tcPr>
            <w:tcW w:w="20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color w:val="404040"/>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404040"/>
              </w:rPr>
              <w:t>17.5</w:t>
            </w:r>
          </w:p>
        </w:tc>
        <w:tc>
          <w:tcPr>
            <w:tcW w:w="20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color w:val="404040"/>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404040"/>
              </w:rPr>
              <w:t>28.0</w:t>
            </w:r>
          </w:p>
        </w:tc>
        <w:tc>
          <w:tcPr>
            <w:tcW w:w="160" w:type="dxa"/>
            <w:vAlign w:val="bottom"/>
            <w:tcBorders>
              <w:bottom w:val="single" w:sz="8" w:color="CCEEFF"/>
            </w:tcBorders>
          </w:tcPr>
          <w:p>
            <w:pPr>
              <w:spacing w:after="0"/>
              <w:rPr>
                <w:sz w:val="22"/>
                <w:szCs w:val="22"/>
                <w:color w:val="auto"/>
              </w:rPr>
            </w:pPr>
          </w:p>
        </w:tc>
      </w:tr>
      <w:tr>
        <w:trPr>
          <w:trHeight w:val="197"/>
        </w:trPr>
        <w:tc>
          <w:tcPr>
            <w:tcW w:w="5120" w:type="dxa"/>
            <w:vAlign w:val="bottom"/>
            <w:gridSpan w:val="2"/>
            <w:shd w:val="clear" w:color="auto" w:fill="CCEEFF"/>
          </w:tcPr>
          <w:p>
            <w:pPr>
              <w:spacing w:after="0" w:line="196" w:lineRule="exact"/>
              <w:rPr>
                <w:sz w:val="20"/>
                <w:szCs w:val="20"/>
                <w:color w:val="auto"/>
              </w:rPr>
            </w:pPr>
            <w:r>
              <w:rPr>
                <w:rFonts w:ascii="Arial" w:cs="Arial" w:eastAsia="Arial" w:hAnsi="Arial"/>
                <w:sz w:val="18"/>
                <w:szCs w:val="18"/>
                <w:b w:val="1"/>
                <w:bCs w:val="1"/>
                <w:color w:val="auto"/>
              </w:rPr>
              <w:t>Profitability Ratios</w:t>
            </w: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57"/>
        </w:trPr>
        <w:tc>
          <w:tcPr>
            <w:tcW w:w="51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(2)</w:t>
            </w:r>
          </w:p>
        </w:tc>
        <w:tc>
          <w:tcPr>
            <w:tcW w:w="200" w:type="dxa"/>
            <w:vAlign w:val="bottom"/>
          </w:tcPr>
          <w:p>
            <w:pPr>
              <w:jc w:val="right"/>
              <w:ind w:right="10"/>
              <w:spacing w:after="0"/>
              <w:rPr>
                <w:sz w:val="20"/>
                <w:szCs w:val="20"/>
                <w:color w:val="auto"/>
              </w:rPr>
            </w:pPr>
            <w:r>
              <w:rPr>
                <w:rFonts w:ascii="Arial" w:cs="Arial" w:eastAsia="Arial" w:hAnsi="Arial"/>
                <w:sz w:val="18"/>
                <w:szCs w:val="18"/>
                <w:color w:val="404040"/>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404040"/>
              </w:rPr>
              <w:t>1.56</w:t>
            </w:r>
          </w:p>
        </w:tc>
        <w:tc>
          <w:tcPr>
            <w:tcW w:w="240" w:type="dxa"/>
            <w:vAlign w:val="bottom"/>
            <w:gridSpan w:val="2"/>
          </w:tcPr>
          <w:p>
            <w:pPr>
              <w:jc w:val="right"/>
              <w:ind w:right="25"/>
              <w:spacing w:after="0"/>
              <w:rPr>
                <w:sz w:val="20"/>
                <w:szCs w:val="20"/>
                <w:color w:val="auto"/>
              </w:rPr>
            </w:pPr>
            <w:r>
              <w:rPr>
                <w:rFonts w:ascii="Arial" w:cs="Arial" w:eastAsia="Arial" w:hAnsi="Arial"/>
                <w:sz w:val="18"/>
                <w:szCs w:val="18"/>
                <w:color w:val="404040"/>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404040"/>
              </w:rPr>
              <w:t>1.89</w:t>
            </w:r>
          </w:p>
        </w:tc>
        <w:tc>
          <w:tcPr>
            <w:tcW w:w="260" w:type="dxa"/>
            <w:vAlign w:val="bottom"/>
            <w:gridSpan w:val="2"/>
          </w:tcPr>
          <w:p>
            <w:pPr>
              <w:jc w:val="right"/>
              <w:ind w:right="45"/>
              <w:spacing w:after="0"/>
              <w:rPr>
                <w:sz w:val="20"/>
                <w:szCs w:val="20"/>
                <w:color w:val="auto"/>
              </w:rPr>
            </w:pPr>
            <w:r>
              <w:rPr>
                <w:rFonts w:ascii="Arial" w:cs="Arial" w:eastAsia="Arial" w:hAnsi="Arial"/>
                <w:sz w:val="18"/>
                <w:szCs w:val="18"/>
                <w:color w:val="404040"/>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404040"/>
              </w:rPr>
              <w:t>0.52</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404040"/>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404040"/>
              </w:rPr>
              <w:t>0.44</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404040"/>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404040"/>
              </w:rPr>
              <w:t>0.72</w:t>
            </w:r>
          </w:p>
        </w:tc>
      </w:tr>
      <w:tr>
        <w:trPr>
          <w:trHeight w:val="257"/>
        </w:trPr>
        <w:tc>
          <w:tcPr>
            <w:tcW w:w="51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(3)</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8.1%</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10.0%</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7.9%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6.9%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404040"/>
              </w:rPr>
              <w:t>11.2%</w:t>
            </w:r>
          </w:p>
        </w:tc>
      </w:tr>
      <w:tr>
        <w:trPr>
          <w:trHeight w:val="216"/>
        </w:trPr>
        <w:tc>
          <w:tcPr>
            <w:tcW w:w="5120" w:type="dxa"/>
            <w:vAlign w:val="bottom"/>
            <w:gridSpan w:val="2"/>
          </w:tcPr>
          <w:p>
            <w:pPr>
              <w:spacing w:after="0"/>
              <w:rPr>
                <w:sz w:val="20"/>
                <w:szCs w:val="20"/>
                <w:color w:val="auto"/>
              </w:rPr>
            </w:pPr>
            <w:r>
              <w:rPr>
                <w:rFonts w:ascii="Arial" w:cs="Arial" w:eastAsia="Arial" w:hAnsi="Arial"/>
                <w:sz w:val="18"/>
                <w:szCs w:val="18"/>
                <w:color w:val="auto"/>
              </w:rPr>
              <w:t>Return on Average Assets (“ROAA”)</w:t>
            </w: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1.26%</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404040"/>
              </w:rPr>
              <w:t>1.31%</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1.30%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1.08%</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404040"/>
              </w:rPr>
              <w:t>1.50%</w:t>
            </w:r>
          </w:p>
        </w:tc>
      </w:tr>
      <w:tr>
        <w:trPr>
          <w:trHeight w:val="257"/>
        </w:trPr>
        <w:tc>
          <w:tcPr>
            <w:tcW w:w="51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(4)</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1.87%</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2.08%</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1.76%</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1.80%</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404040"/>
              </w:rPr>
              <w:t>2.13%</w:t>
            </w:r>
          </w:p>
        </w:tc>
      </w:tr>
      <w:tr>
        <w:trPr>
          <w:trHeight w:val="257"/>
        </w:trPr>
        <w:tc>
          <w:tcPr>
            <w:tcW w:w="51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(5)</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1.51%</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404040"/>
              </w:rPr>
              <w:t>1.86%</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1.37%</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1.44%</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404040"/>
              </w:rPr>
              <w:t>1.89%</w:t>
            </w:r>
          </w:p>
        </w:tc>
      </w:tr>
      <w:tr>
        <w:trPr>
          <w:trHeight w:val="257"/>
        </w:trPr>
        <w:tc>
          <w:tcPr>
            <w:tcW w:w="51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(6)</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33%</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27%</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32%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37%</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404040"/>
              </w:rPr>
              <w:t>26%</w:t>
            </w:r>
          </w:p>
        </w:tc>
      </w:tr>
      <w:tr>
        <w:trPr>
          <w:trHeight w:val="216"/>
        </w:trPr>
        <w:tc>
          <w:tcPr>
            <w:tcW w:w="5120" w:type="dxa"/>
            <w:vAlign w:val="bottom"/>
            <w:gridSpan w:val="2"/>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7"/>
        </w:trPr>
        <w:tc>
          <w:tcPr>
            <w:tcW w:w="51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404040"/>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5,706</w:t>
            </w:r>
          </w:p>
        </w:tc>
        <w:tc>
          <w:tcPr>
            <w:tcW w:w="240" w:type="dxa"/>
            <w:vAlign w:val="bottom"/>
            <w:gridSpan w:val="2"/>
            <w:shd w:val="clear" w:color="auto" w:fill="CCEEFF"/>
          </w:tcPr>
          <w:p>
            <w:pPr>
              <w:jc w:val="right"/>
              <w:ind w:right="25"/>
              <w:spacing w:after="0"/>
              <w:rPr>
                <w:sz w:val="20"/>
                <w:szCs w:val="20"/>
                <w:color w:val="auto"/>
              </w:rPr>
            </w:pPr>
            <w:r>
              <w:rPr>
                <w:rFonts w:ascii="Arial" w:cs="Arial" w:eastAsia="Arial" w:hAnsi="Arial"/>
                <w:sz w:val="18"/>
                <w:szCs w:val="18"/>
                <w:color w:val="404040"/>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6,688</w:t>
            </w:r>
          </w:p>
        </w:tc>
        <w:tc>
          <w:tcPr>
            <w:tcW w:w="26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404040"/>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5,706</w:t>
            </w:r>
          </w:p>
        </w:tc>
        <w:tc>
          <w:tcPr>
            <w:tcW w:w="26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404040"/>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5,840</w:t>
            </w:r>
          </w:p>
        </w:tc>
        <w:tc>
          <w:tcPr>
            <w:tcW w:w="26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404040"/>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404040"/>
              </w:rPr>
              <w:t>6,688</w:t>
            </w:r>
          </w:p>
        </w:tc>
      </w:tr>
      <w:tr>
        <w:trPr>
          <w:trHeight w:val="216"/>
        </w:trPr>
        <w:tc>
          <w:tcPr>
            <w:tcW w:w="5120" w:type="dxa"/>
            <w:vAlign w:val="bottom"/>
            <w:gridSpan w:val="2"/>
          </w:tcPr>
          <w:p>
            <w:pPr>
              <w:spacing w:after="0"/>
              <w:rPr>
                <w:sz w:val="20"/>
                <w:szCs w:val="20"/>
                <w:color w:val="auto"/>
              </w:rPr>
            </w:pPr>
            <w:r>
              <w:rPr>
                <w:rFonts w:ascii="Arial" w:cs="Arial" w:eastAsia="Arial" w:hAnsi="Arial"/>
                <w:sz w:val="18"/>
                <w:szCs w:val="18"/>
                <w:color w:val="auto"/>
              </w:rPr>
              <w:t>Treasury Portfolio</w:t>
            </w:r>
          </w:p>
        </w:tc>
        <w:tc>
          <w:tcPr>
            <w:tcW w:w="200" w:type="dxa"/>
            <w:vAlign w:val="bottom"/>
          </w:tcPr>
          <w:p>
            <w:pPr>
              <w:jc w:val="right"/>
              <w:ind w:right="10"/>
              <w:spacing w:after="0"/>
              <w:rPr>
                <w:sz w:val="20"/>
                <w:szCs w:val="20"/>
                <w:color w:val="auto"/>
              </w:rPr>
            </w:pPr>
            <w:r>
              <w:rPr>
                <w:rFonts w:ascii="Arial" w:cs="Arial" w:eastAsia="Arial" w:hAnsi="Arial"/>
                <w:sz w:val="18"/>
                <w:szCs w:val="18"/>
                <w:color w:val="404040"/>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404040"/>
              </w:rPr>
              <w:t>88</w:t>
            </w:r>
          </w:p>
        </w:tc>
        <w:tc>
          <w:tcPr>
            <w:tcW w:w="240" w:type="dxa"/>
            <w:vAlign w:val="bottom"/>
            <w:gridSpan w:val="2"/>
          </w:tcPr>
          <w:p>
            <w:pPr>
              <w:jc w:val="right"/>
              <w:ind w:right="25"/>
              <w:spacing w:after="0"/>
              <w:rPr>
                <w:sz w:val="20"/>
                <w:szCs w:val="20"/>
                <w:color w:val="auto"/>
              </w:rPr>
            </w:pPr>
            <w:r>
              <w:rPr>
                <w:rFonts w:ascii="Arial" w:cs="Arial" w:eastAsia="Arial" w:hAnsi="Arial"/>
                <w:sz w:val="18"/>
                <w:szCs w:val="18"/>
                <w:color w:val="404040"/>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404040"/>
              </w:rPr>
              <w:t>145</w:t>
            </w:r>
          </w:p>
        </w:tc>
        <w:tc>
          <w:tcPr>
            <w:tcW w:w="260" w:type="dxa"/>
            <w:vAlign w:val="bottom"/>
            <w:gridSpan w:val="2"/>
          </w:tcPr>
          <w:p>
            <w:pPr>
              <w:jc w:val="right"/>
              <w:ind w:right="45"/>
              <w:spacing w:after="0"/>
              <w:rPr>
                <w:sz w:val="20"/>
                <w:szCs w:val="20"/>
                <w:color w:val="auto"/>
              </w:rPr>
            </w:pPr>
            <w:r>
              <w:rPr>
                <w:rFonts w:ascii="Arial" w:cs="Arial" w:eastAsia="Arial" w:hAnsi="Arial"/>
                <w:sz w:val="18"/>
                <w:szCs w:val="18"/>
                <w:color w:val="404040"/>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404040"/>
              </w:rPr>
              <w:t>88</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404040"/>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404040"/>
              </w:rPr>
              <w:t>79</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404040"/>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404040"/>
              </w:rPr>
              <w:t>145</w:t>
            </w:r>
          </w:p>
        </w:tc>
      </w:tr>
      <w:tr>
        <w:trPr>
          <w:trHeight w:val="216"/>
        </w:trPr>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404040"/>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6,200</w:t>
            </w:r>
          </w:p>
        </w:tc>
        <w:tc>
          <w:tcPr>
            <w:tcW w:w="240" w:type="dxa"/>
            <w:vAlign w:val="bottom"/>
            <w:gridSpan w:val="2"/>
            <w:shd w:val="clear" w:color="auto" w:fill="CCEEFF"/>
          </w:tcPr>
          <w:p>
            <w:pPr>
              <w:jc w:val="right"/>
              <w:ind w:right="25"/>
              <w:spacing w:after="0"/>
              <w:rPr>
                <w:sz w:val="20"/>
                <w:szCs w:val="20"/>
                <w:color w:val="auto"/>
              </w:rPr>
            </w:pPr>
            <w:r>
              <w:rPr>
                <w:rFonts w:ascii="Arial" w:cs="Arial" w:eastAsia="Arial" w:hAnsi="Arial"/>
                <w:sz w:val="18"/>
                <w:szCs w:val="18"/>
                <w:color w:val="404040"/>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7,287</w:t>
            </w:r>
          </w:p>
        </w:tc>
        <w:tc>
          <w:tcPr>
            <w:tcW w:w="26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404040"/>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6,200</w:t>
            </w:r>
          </w:p>
        </w:tc>
        <w:tc>
          <w:tcPr>
            <w:tcW w:w="26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404040"/>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6,422</w:t>
            </w:r>
          </w:p>
        </w:tc>
        <w:tc>
          <w:tcPr>
            <w:tcW w:w="26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404040"/>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404040"/>
              </w:rPr>
              <w:t>7,287</w:t>
            </w:r>
          </w:p>
        </w:tc>
      </w:tr>
      <w:tr>
        <w:trPr>
          <w:trHeight w:val="216"/>
        </w:trPr>
        <w:tc>
          <w:tcPr>
            <w:tcW w:w="5120" w:type="dxa"/>
            <w:vAlign w:val="bottom"/>
            <w:gridSpan w:val="2"/>
          </w:tcPr>
          <w:p>
            <w:pPr>
              <w:spacing w:after="0"/>
              <w:rPr>
                <w:sz w:val="20"/>
                <w:szCs w:val="20"/>
                <w:color w:val="auto"/>
              </w:rPr>
            </w:pPr>
            <w:r>
              <w:rPr>
                <w:rFonts w:ascii="Arial" w:cs="Arial" w:eastAsia="Arial" w:hAnsi="Arial"/>
                <w:sz w:val="18"/>
                <w:szCs w:val="18"/>
                <w:color w:val="auto"/>
              </w:rPr>
              <w:t>Total stockholders' equity</w:t>
            </w:r>
          </w:p>
        </w:tc>
        <w:tc>
          <w:tcPr>
            <w:tcW w:w="200" w:type="dxa"/>
            <w:vAlign w:val="bottom"/>
          </w:tcPr>
          <w:p>
            <w:pPr>
              <w:jc w:val="right"/>
              <w:ind w:right="10"/>
              <w:spacing w:after="0"/>
              <w:rPr>
                <w:sz w:val="20"/>
                <w:szCs w:val="20"/>
                <w:color w:val="auto"/>
              </w:rPr>
            </w:pPr>
            <w:r>
              <w:rPr>
                <w:rFonts w:ascii="Arial" w:cs="Arial" w:eastAsia="Arial" w:hAnsi="Arial"/>
                <w:sz w:val="18"/>
                <w:szCs w:val="18"/>
                <w:color w:val="404040"/>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404040"/>
              </w:rPr>
              <w:t>1,032</w:t>
            </w:r>
          </w:p>
        </w:tc>
        <w:tc>
          <w:tcPr>
            <w:tcW w:w="240" w:type="dxa"/>
            <w:vAlign w:val="bottom"/>
            <w:gridSpan w:val="2"/>
          </w:tcPr>
          <w:p>
            <w:pPr>
              <w:jc w:val="right"/>
              <w:ind w:right="25"/>
              <w:spacing w:after="0"/>
              <w:rPr>
                <w:sz w:val="20"/>
                <w:szCs w:val="20"/>
                <w:color w:val="auto"/>
              </w:rPr>
            </w:pPr>
            <w:r>
              <w:rPr>
                <w:rFonts w:ascii="Arial" w:cs="Arial" w:eastAsia="Arial" w:hAnsi="Arial"/>
                <w:sz w:val="18"/>
                <w:szCs w:val="18"/>
                <w:color w:val="404040"/>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404040"/>
              </w:rPr>
              <w:t>1,011</w:t>
            </w:r>
          </w:p>
        </w:tc>
        <w:tc>
          <w:tcPr>
            <w:tcW w:w="260" w:type="dxa"/>
            <w:vAlign w:val="bottom"/>
            <w:gridSpan w:val="2"/>
          </w:tcPr>
          <w:p>
            <w:pPr>
              <w:jc w:val="right"/>
              <w:ind w:right="45"/>
              <w:spacing w:after="0"/>
              <w:rPr>
                <w:sz w:val="20"/>
                <w:szCs w:val="20"/>
                <w:color w:val="auto"/>
              </w:rPr>
            </w:pPr>
            <w:r>
              <w:rPr>
                <w:rFonts w:ascii="Arial" w:cs="Arial" w:eastAsia="Arial" w:hAnsi="Arial"/>
                <w:sz w:val="18"/>
                <w:szCs w:val="18"/>
                <w:color w:val="404040"/>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404040"/>
              </w:rPr>
              <w:t>1,032</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404040"/>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404040"/>
              </w:rPr>
              <w:t>1,024</w:t>
            </w:r>
          </w:p>
        </w:tc>
        <w:tc>
          <w:tcPr>
            <w:tcW w:w="260" w:type="dxa"/>
            <w:vAlign w:val="bottom"/>
            <w:gridSpan w:val="2"/>
          </w:tcPr>
          <w:p>
            <w:pPr>
              <w:jc w:val="right"/>
              <w:ind w:right="10"/>
              <w:spacing w:after="0"/>
              <w:rPr>
                <w:sz w:val="20"/>
                <w:szCs w:val="20"/>
                <w:color w:val="auto"/>
              </w:rPr>
            </w:pPr>
            <w:r>
              <w:rPr>
                <w:rFonts w:ascii="Arial" w:cs="Arial" w:eastAsia="Arial" w:hAnsi="Arial"/>
                <w:sz w:val="18"/>
                <w:szCs w:val="18"/>
                <w:color w:val="404040"/>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404040"/>
              </w:rPr>
              <w:t>1,011</w:t>
            </w:r>
          </w:p>
        </w:tc>
      </w:tr>
      <w:tr>
        <w:trPr>
          <w:trHeight w:val="257"/>
        </w:trPr>
        <w:tc>
          <w:tcPr>
            <w:tcW w:w="51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404040"/>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1,159</w:t>
            </w:r>
          </w:p>
        </w:tc>
        <w:tc>
          <w:tcPr>
            <w:tcW w:w="240" w:type="dxa"/>
            <w:vAlign w:val="bottom"/>
            <w:gridSpan w:val="2"/>
            <w:shd w:val="clear" w:color="auto" w:fill="CCEEFF"/>
          </w:tcPr>
          <w:p>
            <w:pPr>
              <w:jc w:val="right"/>
              <w:ind w:right="25"/>
              <w:spacing w:after="0"/>
              <w:rPr>
                <w:sz w:val="20"/>
                <w:szCs w:val="20"/>
                <w:color w:val="auto"/>
              </w:rPr>
            </w:pPr>
            <w:r>
              <w:rPr>
                <w:rFonts w:ascii="Arial" w:cs="Arial" w:eastAsia="Arial" w:hAnsi="Arial"/>
                <w:sz w:val="18"/>
                <w:szCs w:val="18"/>
                <w:color w:val="404040"/>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1,104</w:t>
            </w:r>
          </w:p>
        </w:tc>
        <w:tc>
          <w:tcPr>
            <w:tcW w:w="260" w:type="dxa"/>
            <w:vAlign w:val="bottom"/>
            <w:gridSpan w:val="2"/>
            <w:shd w:val="clear" w:color="auto" w:fill="CCEEFF"/>
          </w:tcPr>
          <w:p>
            <w:pPr>
              <w:jc w:val="right"/>
              <w:ind w:right="45"/>
              <w:spacing w:after="0"/>
              <w:rPr>
                <w:sz w:val="20"/>
                <w:szCs w:val="20"/>
                <w:color w:val="auto"/>
              </w:rPr>
            </w:pPr>
            <w:r>
              <w:rPr>
                <w:rFonts w:ascii="Arial" w:cs="Arial" w:eastAsia="Arial" w:hAnsi="Arial"/>
                <w:sz w:val="18"/>
                <w:szCs w:val="18"/>
                <w:color w:val="404040"/>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1,159</w:t>
            </w:r>
          </w:p>
        </w:tc>
        <w:tc>
          <w:tcPr>
            <w:tcW w:w="26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404040"/>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1,078</w:t>
            </w:r>
          </w:p>
        </w:tc>
        <w:tc>
          <w:tcPr>
            <w:tcW w:w="26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404040"/>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404040"/>
              </w:rPr>
              <w:t>1,104</w:t>
            </w:r>
          </w:p>
        </w:tc>
      </w:tr>
      <w:tr>
        <w:trPr>
          <w:trHeight w:val="257"/>
        </w:trPr>
        <w:tc>
          <w:tcPr>
            <w:tcW w:w="51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20.3%</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404040"/>
              </w:rPr>
              <w:t>15.9%</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20.3%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20.3%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404040"/>
              </w:rPr>
              <w:t>15.9%</w:t>
            </w:r>
          </w:p>
        </w:tc>
      </w:tr>
      <w:tr>
        <w:trPr>
          <w:trHeight w:val="216"/>
        </w:trPr>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assets / Total stockholders' equity (times)</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6.0</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7.2</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6.0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6.3</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404040"/>
              </w:rPr>
              <w:t>7.2</w:t>
            </w:r>
          </w:p>
        </w:tc>
      </w:tr>
      <w:tr>
        <w:trPr>
          <w:trHeight w:val="257"/>
        </w:trPr>
        <w:tc>
          <w:tcPr>
            <w:tcW w:w="512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(10)</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12.2%</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404040"/>
              </w:rPr>
              <w:t>9.9%</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12.2%</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12.0%</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404040"/>
              </w:rPr>
              <w:t>9.9%</w:t>
            </w:r>
          </w:p>
        </w:tc>
      </w:tr>
      <w:tr>
        <w:trPr>
          <w:trHeight w:val="257"/>
        </w:trPr>
        <w:tc>
          <w:tcPr>
            <w:tcW w:w="512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NPL to Loan Portfolio </w:t>
            </w:r>
            <w:r>
              <w:rPr>
                <w:rFonts w:ascii="Arial" w:cs="Arial" w:eastAsia="Arial" w:hAnsi="Arial"/>
                <w:sz w:val="29"/>
                <w:szCs w:val="29"/>
                <w:color w:val="auto"/>
                <w:vertAlign w:val="superscript"/>
              </w:rPr>
              <w:t>(11)</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1.20%</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1.31%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1.20%</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404040"/>
              </w:rPr>
              <w:t>1.12%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404040"/>
              </w:rPr>
              <w:t>1.31%</w:t>
            </w:r>
          </w:p>
        </w:tc>
      </w:tr>
      <w:tr>
        <w:trPr>
          <w:trHeight w:val="202"/>
        </w:trPr>
        <w:tc>
          <w:tcPr>
            <w:tcW w:w="5120" w:type="dxa"/>
            <w:vAlign w:val="bottom"/>
            <w:gridSpan w:val="2"/>
          </w:tcPr>
          <w:p>
            <w:pPr>
              <w:spacing w:after="0" w:line="201" w:lineRule="exact"/>
              <w:rPr>
                <w:sz w:val="20"/>
                <w:szCs w:val="20"/>
                <w:color w:val="auto"/>
              </w:rPr>
            </w:pPr>
            <w:r>
              <w:rPr>
                <w:rFonts w:ascii="Arial" w:cs="Arial" w:eastAsia="Arial" w:hAnsi="Arial"/>
                <w:sz w:val="18"/>
                <w:szCs w:val="18"/>
                <w:color w:val="auto"/>
              </w:rPr>
              <w:t>Total allowance for ECL on loans at amortized cost, loan</w:t>
            </w: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16"/>
        </w:trPr>
        <w:tc>
          <w:tcPr>
            <w:tcW w:w="5120" w:type="dxa"/>
            <w:vAlign w:val="bottom"/>
            <w:gridSpan w:val="2"/>
          </w:tcPr>
          <w:p>
            <w:pPr>
              <w:spacing w:after="0"/>
              <w:rPr>
                <w:sz w:val="20"/>
                <w:szCs w:val="20"/>
                <w:color w:val="auto"/>
              </w:rPr>
            </w:pPr>
            <w:r>
              <w:rPr>
                <w:rFonts w:ascii="Arial" w:cs="Arial" w:eastAsia="Arial" w:hAnsi="Arial"/>
                <w:sz w:val="18"/>
                <w:szCs w:val="18"/>
                <w:color w:val="auto"/>
              </w:rPr>
              <w:t>commitments and financial guarantee contracts to Commercial</w:t>
            </w: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30"/>
        </w:trPr>
        <w:tc>
          <w:tcPr>
            <w:tcW w:w="5120" w:type="dxa"/>
            <w:vAlign w:val="bottom"/>
            <w:gridSpan w:val="2"/>
          </w:tcPr>
          <w:p>
            <w:pPr>
              <w:spacing w:after="0"/>
              <w:rPr>
                <w:sz w:val="20"/>
                <w:szCs w:val="20"/>
                <w:color w:val="auto"/>
              </w:rPr>
            </w:pPr>
            <w:r>
              <w:rPr>
                <w:rFonts w:ascii="Arial" w:cs="Arial" w:eastAsia="Arial" w:hAnsi="Arial"/>
                <w:sz w:val="18"/>
                <w:szCs w:val="18"/>
                <w:color w:val="auto"/>
              </w:rPr>
              <w:t>Portfolio</w:t>
            </w:r>
          </w:p>
        </w:tc>
        <w:tc>
          <w:tcPr>
            <w:tcW w:w="200" w:type="dxa"/>
            <w:vAlign w:val="bottom"/>
          </w:tcPr>
          <w:p>
            <w:pPr>
              <w:spacing w:after="0"/>
              <w:rPr>
                <w:sz w:val="20"/>
                <w:szCs w:val="20"/>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2.04%</w:t>
            </w: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404040"/>
              </w:rPr>
              <w:t>1.67%</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2.04%</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404040"/>
              </w:rPr>
              <w:t>2.06%</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404040"/>
              </w:rPr>
              <w:t>1.67%</w:t>
            </w:r>
          </w:p>
        </w:tc>
      </w:tr>
      <w:tr>
        <w:trPr>
          <w:trHeight w:val="202"/>
        </w:trPr>
        <w:tc>
          <w:tcPr>
            <w:tcW w:w="51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6"/>
              </w:rPr>
              <w:t>Total allowance for ECL on loans, loan commitments and financial</w:t>
            </w: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30"/>
        </w:trPr>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guarantee contracts to NPL (times)</w:t>
            </w:r>
          </w:p>
        </w:tc>
        <w:tc>
          <w:tcPr>
            <w:tcW w:w="20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1.8</w:t>
            </w:r>
          </w:p>
        </w:tc>
        <w:tc>
          <w:tcPr>
            <w:tcW w:w="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404040"/>
              </w:rPr>
              <w:t>1.3</w:t>
            </w:r>
          </w:p>
        </w:tc>
        <w:tc>
          <w:tcPr>
            <w:tcW w:w="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1.8</w:t>
            </w:r>
          </w:p>
        </w:tc>
        <w:tc>
          <w:tcPr>
            <w:tcW w:w="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404040"/>
              </w:rPr>
              <w:t>1.9</w:t>
            </w:r>
          </w:p>
        </w:tc>
        <w:tc>
          <w:tcPr>
            <w:tcW w:w="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404040"/>
              </w:rPr>
              <w:t>1.3</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3Q17 &amp; 9M17 Highlights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Reported results:</w:t>
      </w:r>
    </w:p>
    <w:p>
      <w:pPr>
        <w:spacing w:after="0" w:line="229" w:lineRule="exact"/>
        <w:rPr>
          <w:sz w:val="20"/>
          <w:szCs w:val="20"/>
          <w:color w:val="auto"/>
        </w:rPr>
      </w:pPr>
    </w:p>
    <w:p>
      <w:pPr>
        <w:ind w:left="340" w:right="2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3Q17 and 9M17 Profit totaled $20.5 million (+17% QoQ, -27% YoY) and $61.4 million (-17% YoY), respectively, mainly as the effects of lower provisions for expected credit losses (“ECL”) were offset by decreased net interest income.</w:t>
      </w:r>
    </w:p>
    <w:p>
      <w:pPr>
        <w:spacing w:after="0" w:line="170" w:lineRule="exact"/>
        <w:rPr>
          <w:rFonts w:ascii="Arial" w:cs="Arial" w:eastAsia="Arial" w:hAnsi="Arial"/>
          <w:sz w:val="18"/>
          <w:szCs w:val="18"/>
          <w:color w:val="auto"/>
        </w:rPr>
      </w:pPr>
    </w:p>
    <w:p>
      <w:pPr>
        <w:jc w:val="both"/>
        <w:ind w:left="340" w:hanging="332"/>
        <w:spacing w:after="0" w:line="308" w:lineRule="auto"/>
        <w:tabs>
          <w:tab w:leader="none" w:pos="340" w:val="left"/>
        </w:tabs>
        <w:numPr>
          <w:ilvl w:val="0"/>
          <w:numId w:val="1"/>
        </w:numPr>
        <w:rPr>
          <w:rFonts w:ascii="Arial" w:cs="Arial" w:eastAsia="Arial" w:hAnsi="Arial"/>
          <w:sz w:val="17"/>
          <w:szCs w:val="17"/>
          <w:color w:val="auto"/>
        </w:rPr>
      </w:pPr>
      <w:r>
        <w:rPr>
          <w:rFonts w:ascii="Arial" w:cs="Arial" w:eastAsia="Arial" w:hAnsi="Arial"/>
          <w:sz w:val="17"/>
          <w:szCs w:val="17"/>
          <w:color w:val="auto"/>
        </w:rPr>
        <w:t>Net interest income and margin (“NIM”) were $91.7 million and 1.87% in 9M17 (-22% and -21 bps YoY); $27.9 million and 1.76% in 3Q17 (-5% and -4 bps QoQ; -30% and -37 bps YoY, respectively). These decreases were a consequence of i) a YoY lower average loan book from de-risking and</w:t>
      </w:r>
    </w:p>
    <w:p>
      <w:pPr>
        <w:sectPr>
          <w:pgSz w:w="11900" w:h="16838" w:orient="portrait"/>
          <w:cols w:equalWidth="0" w:num="1">
            <w:col w:w="11420"/>
          </w:cols>
          <w:pgMar w:left="240" w:top="1440" w:right="239" w:bottom="0" w:gutter="0" w:footer="0" w:header="0"/>
        </w:sectPr>
      </w:pPr>
    </w:p>
    <w:bookmarkStart w:id="3" w:name="page4"/>
    <w:bookmarkEnd w:id="3"/>
    <w:p>
      <w:pPr>
        <w:ind w:left="340"/>
        <w:spacing w:after="0" w:line="277" w:lineRule="auto"/>
        <w:rPr>
          <w:sz w:val="20"/>
          <w:szCs w:val="20"/>
          <w:color w:val="auto"/>
        </w:rPr>
      </w:pPr>
      <w:r>
        <w:rPr>
          <w:rFonts w:ascii="Arial" w:cs="Arial" w:eastAsia="Arial" w:hAnsi="Arial"/>
          <w:sz w:val="18"/>
          <w:szCs w:val="18"/>
          <w:color w:val="auto"/>
        </w:rPr>
        <w:t>diversification efforts; ii) tighter net lending spreads on excess USD liquidity in markets across the Region; and iii) the effects from changes in the portfolio mix towards short-term trade exposures.</w:t>
      </w:r>
    </w:p>
    <w:p>
      <w:pPr>
        <w:spacing w:after="0" w:line="170" w:lineRule="exact"/>
        <w:rPr>
          <w:sz w:val="20"/>
          <w:szCs w:val="20"/>
          <w:color w:val="auto"/>
        </w:rPr>
      </w:pPr>
    </w:p>
    <w:p>
      <w:pPr>
        <w:ind w:left="340" w:hanging="332"/>
        <w:spacing w:after="0" w:line="277" w:lineRule="auto"/>
        <w:tabs>
          <w:tab w:leader="none" w:pos="340" w:val="left"/>
        </w:tabs>
        <w:numPr>
          <w:ilvl w:val="0"/>
          <w:numId w:val="2"/>
        </w:numPr>
        <w:rPr>
          <w:rFonts w:ascii="Arial" w:cs="Arial" w:eastAsia="Arial" w:hAnsi="Arial"/>
          <w:sz w:val="18"/>
          <w:szCs w:val="18"/>
          <w:color w:val="auto"/>
        </w:rPr>
      </w:pPr>
      <w:r>
        <w:rPr>
          <w:rFonts w:ascii="Arial" w:cs="Arial" w:eastAsia="Arial" w:hAnsi="Arial"/>
          <w:sz w:val="18"/>
          <w:szCs w:val="18"/>
          <w:color w:val="auto"/>
        </w:rPr>
        <w:t>Fees and Other Income totaled $12.8 million in 9M17 (+9% YoY) and $3.8 million (-28% QoQ, +5 YoY), mainly from increased activity in the letters of credit business, and the successful closing of three structured transactions in the quarter, for a total of five YTD.</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Key performance metrics:</w:t>
      </w:r>
    </w:p>
    <w:p>
      <w:pPr>
        <w:spacing w:after="0" w:line="229" w:lineRule="exact"/>
        <w:rPr>
          <w:sz w:val="20"/>
          <w:szCs w:val="20"/>
          <w:color w:val="auto"/>
        </w:rPr>
      </w:pPr>
    </w:p>
    <w:p>
      <w:pPr>
        <w:ind w:left="340" w:hanging="332"/>
        <w:spacing w:after="0" w:line="277" w:lineRule="auto"/>
        <w:tabs>
          <w:tab w:leader="none" w:pos="340" w:val="left"/>
        </w:tabs>
        <w:numPr>
          <w:ilvl w:val="0"/>
          <w:numId w:val="3"/>
        </w:numPr>
        <w:rPr>
          <w:rFonts w:ascii="Arial" w:cs="Arial" w:eastAsia="Arial" w:hAnsi="Arial"/>
          <w:sz w:val="18"/>
          <w:szCs w:val="18"/>
          <w:color w:val="auto"/>
        </w:rPr>
      </w:pPr>
      <w:r>
        <w:rPr>
          <w:rFonts w:ascii="Arial" w:cs="Arial" w:eastAsia="Arial" w:hAnsi="Arial"/>
          <w:sz w:val="18"/>
          <w:szCs w:val="18"/>
          <w:color w:val="auto"/>
        </w:rPr>
        <w:t>The 9M17 annualized Return on Average Equity (“ROAE”) stood at 8.1%, compared to 10.0% a year ago, as the result of lower total income and a higher capital base. Similarly, 3Q17 ROAE was 7.9% vs. 6.9% in 2Q17 and 11.2% in 3Q16.</w:t>
      </w:r>
    </w:p>
    <w:p>
      <w:pPr>
        <w:spacing w:after="0" w:line="170" w:lineRule="exact"/>
        <w:rPr>
          <w:rFonts w:ascii="Arial" w:cs="Arial" w:eastAsia="Arial" w:hAnsi="Arial"/>
          <w:sz w:val="18"/>
          <w:szCs w:val="18"/>
          <w:color w:val="auto"/>
        </w:rPr>
      </w:pPr>
    </w:p>
    <w:p>
      <w:pPr>
        <w:ind w:left="340" w:hanging="332"/>
        <w:spacing w:after="0" w:line="308" w:lineRule="auto"/>
        <w:tabs>
          <w:tab w:leader="none" w:pos="340" w:val="left"/>
        </w:tabs>
        <w:numPr>
          <w:ilvl w:val="0"/>
          <w:numId w:val="3"/>
        </w:numPr>
        <w:rPr>
          <w:rFonts w:ascii="Arial" w:cs="Arial" w:eastAsia="Arial" w:hAnsi="Arial"/>
          <w:sz w:val="17"/>
          <w:szCs w:val="17"/>
          <w:color w:val="auto"/>
        </w:rPr>
      </w:pPr>
      <w:r>
        <w:rPr>
          <w:rFonts w:ascii="Arial" w:cs="Arial" w:eastAsia="Arial" w:hAnsi="Arial"/>
          <w:sz w:val="17"/>
          <w:szCs w:val="17"/>
          <w:color w:val="auto"/>
        </w:rPr>
        <w:t>The Efficiency Ratio improved to 32% in 3Q17 from 37% in the previous quarter on the back of lower operating expenses (-21% QoQ, from cost reductions and lower non-recurring expenses). The 9M17 efficiency ratio was 33% vs. 27% a year ago, mostly on YoY lower total income.</w:t>
      </w:r>
    </w:p>
    <w:p>
      <w:pPr>
        <w:spacing w:after="0" w:line="146" w:lineRule="exact"/>
        <w:rPr>
          <w:rFonts w:ascii="Arial" w:cs="Arial" w:eastAsia="Arial" w:hAnsi="Arial"/>
          <w:sz w:val="17"/>
          <w:szCs w:val="17"/>
          <w:color w:val="auto"/>
        </w:rPr>
      </w:pPr>
    </w:p>
    <w:p>
      <w:pPr>
        <w:ind w:left="340" w:hanging="332"/>
        <w:spacing w:after="0" w:line="277" w:lineRule="auto"/>
        <w:tabs>
          <w:tab w:leader="none" w:pos="340" w:val="left"/>
        </w:tabs>
        <w:numPr>
          <w:ilvl w:val="0"/>
          <w:numId w:val="3"/>
        </w:numPr>
        <w:rPr>
          <w:rFonts w:ascii="Arial" w:cs="Arial" w:eastAsia="Arial" w:hAnsi="Arial"/>
          <w:sz w:val="18"/>
          <w:szCs w:val="18"/>
          <w:color w:val="auto"/>
        </w:rPr>
      </w:pPr>
      <w:r>
        <w:rPr>
          <w:rFonts w:ascii="Arial" w:cs="Arial" w:eastAsia="Arial" w:hAnsi="Arial"/>
          <w:sz w:val="18"/>
          <w:szCs w:val="18"/>
          <w:color w:val="auto"/>
        </w:rPr>
        <w:t>The Tier 1 Basel III Capital Ratio stood at 20.3% at the end of 3Q17, unchanged from a quarter ago, up from 15.9% a year ago, reflecting increasing levels of capitalization and decreased risk-weighted assets compared to a year ago.</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Portfolio &amp; Quality:</w:t>
      </w:r>
    </w:p>
    <w:p>
      <w:pPr>
        <w:spacing w:after="0" w:line="229" w:lineRule="exact"/>
        <w:rPr>
          <w:sz w:val="20"/>
          <w:szCs w:val="20"/>
          <w:color w:val="auto"/>
        </w:rPr>
      </w:pPr>
    </w:p>
    <w:p>
      <w:pPr>
        <w:jc w:val="both"/>
        <w:ind w:left="340" w:hanging="332"/>
        <w:spacing w:after="0" w:line="264" w:lineRule="auto"/>
        <w:tabs>
          <w:tab w:leader="none" w:pos="340" w:val="left"/>
        </w:tabs>
        <w:numPr>
          <w:ilvl w:val="0"/>
          <w:numId w:val="4"/>
        </w:numPr>
        <w:rPr>
          <w:rFonts w:ascii="Arial" w:cs="Arial" w:eastAsia="Arial" w:hAnsi="Arial"/>
          <w:sz w:val="18"/>
          <w:szCs w:val="18"/>
          <w:color w:val="auto"/>
        </w:rPr>
      </w:pPr>
      <w:r>
        <w:rPr>
          <w:rFonts w:ascii="Arial" w:cs="Arial" w:eastAsia="Arial" w:hAnsi="Arial"/>
          <w:sz w:val="18"/>
          <w:szCs w:val="18"/>
          <w:color w:val="auto"/>
        </w:rPr>
        <w:t>As of September 30, 2017, end-of-period Commercial Portfolio balances stood at $5.7 billion (-2% QoQ, -15% YoY), with 3Q17 and 9M17 average balances reaching $5.7 billion (-1% QoQ, -16% YoY) and $5.9 billion (-14% YoY), respectively, while credit disbursement volumes increased QoQ and YoY.</w:t>
      </w:r>
    </w:p>
    <w:p>
      <w:pPr>
        <w:spacing w:after="0" w:line="181"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4"/>
        </w:numPr>
        <w:rPr>
          <w:rFonts w:ascii="Arial" w:cs="Arial" w:eastAsia="Arial" w:hAnsi="Arial"/>
          <w:sz w:val="18"/>
          <w:szCs w:val="18"/>
          <w:color w:val="auto"/>
        </w:rPr>
      </w:pPr>
      <w:r>
        <w:rPr>
          <w:rFonts w:ascii="Arial" w:cs="Arial" w:eastAsia="Arial" w:hAnsi="Arial"/>
          <w:sz w:val="18"/>
          <w:szCs w:val="18"/>
          <w:color w:val="auto"/>
        </w:rPr>
        <w:t>Non-performing loans (“NPL”) stood at $64.1 million at the end of 3Q17, representing 1.20% of Loan Portfolio balances. The NPL coverage ratio reached 1.8x from 1.9x in 2Q17 and 1.3.x a year ago and the total allowance for ECL to total Commercial Portfolio ratio stood at 2.04% (-2 bps QoQ, +37 bps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553085</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25" w:right="2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183515</wp:posOffset>
            </wp:positionH>
            <wp:positionV relativeFrom="page">
              <wp:posOffset>586105</wp:posOffset>
            </wp:positionV>
            <wp:extent cx="6997700" cy="7200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6997700" cy="7200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 xml:space="preserve">Mr. Rubens V. Amaral Jr., Bladex’s Chief Executive Officer, stated the following regarding the Bank’s 3Q17 and 9M17 results: </w:t>
      </w:r>
      <w:r>
        <w:rPr>
          <w:rFonts w:ascii="Arial" w:cs="Arial" w:eastAsia="Arial" w:hAnsi="Arial"/>
          <w:sz w:val="17"/>
          <w:szCs w:val="17"/>
          <w:i w:val="1"/>
          <w:iCs w:val="1"/>
          <w:color w:val="auto"/>
        </w:rPr>
        <w:t>“Markets in our Region</w:t>
      </w:r>
      <w:r>
        <w:rPr>
          <w:rFonts w:ascii="Arial" w:cs="Arial" w:eastAsia="Arial" w:hAnsi="Arial"/>
          <w:sz w:val="17"/>
          <w:szCs w:val="17"/>
          <w:color w:val="auto"/>
        </w:rPr>
        <w:t xml:space="preserve"> </w:t>
      </w:r>
      <w:r>
        <w:rPr>
          <w:rFonts w:ascii="Arial" w:cs="Arial" w:eastAsia="Arial" w:hAnsi="Arial"/>
          <w:sz w:val="17"/>
          <w:szCs w:val="17"/>
          <w:i w:val="1"/>
          <w:iCs w:val="1"/>
          <w:color w:val="auto"/>
        </w:rPr>
        <w:t>continue to experience abundant USD liquidity, resulting, at times, in valuation and asset prices which do not meet our internal risk-reward targets. As in similar market conditions in the past, Bladex continues to privilege adequate pricing over volume growth. Nevertheless, the decrease in end of period portfolio balances seen in prior quarters slowed markedly, and average portfolio balances remained largely stable QoQ, with continued increases in disbursement activity as market loan demand showed some signs of improvement. Our origination focused on high-quality short-term trade transactions and contributed to sequentially lower spreads. Credit exposures with assigned specific reserves to cover expected losses remained limited to a small number of clients, primarily in Brazil. These exposures are actively managed and the pace of restructuring negotiations has accelerated. Based on finalized restructuring agreements, Bladex discharged realized losses against existing reserves, while we continued to strengthen reserves coverage in the remaining cases where restructuring negotiations are still ongoing with pending outcomes.</w:t>
      </w:r>
    </w:p>
    <w:p>
      <w:pPr>
        <w:spacing w:after="0" w:line="18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i w:val="1"/>
          <w:iCs w:val="1"/>
          <w:color w:val="auto"/>
        </w:rPr>
        <w:t>On the expense side, the Bank reverted to lower levels following non-recurring employee-related expense charges in the previous quarter. The Bank remains committed to driving costs down across the organization, and it has embarked on a process of increasing levels of automation and improving workflows, revising organizational structures that not only help to better align its cost structure with the current revenue base, but also look to allow for future revenues growth without materially affecting its cost base going forward.</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i w:val="1"/>
          <w:iCs w:val="1"/>
          <w:color w:val="auto"/>
        </w:rPr>
        <w:t xml:space="preserve">As you can see we have been able to improve the results QoQ, but we are cognizant of the need to effectively deploy our steadily increasing capital base to deliver on profitability expectations through the credit cycles. The Board of Directors approved to maintain the quarterly dividend payout at $0.385/share, which continues to represent an attractive dividend and demonstrates the Board’s confidence in our ability to resume growth and deploy capital more efficiently.” </w:t>
      </w:r>
      <w:r>
        <w:rPr>
          <w:rFonts w:ascii="Arial" w:cs="Arial" w:eastAsia="Arial" w:hAnsi="Arial"/>
          <w:sz w:val="18"/>
          <w:szCs w:val="18"/>
          <w:color w:val="auto"/>
        </w:rPr>
        <w:t>Mr. Amaral concluded.</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jc w:val="both"/>
        <w:ind w:left="660" w:hanging="328"/>
        <w:spacing w:after="0" w:line="266"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At a meeting held October 17, 2017, the Bank’s Board of Directors approved a quarterly common dividend of $0.385</w:t>
      </w:r>
      <w:r>
        <w:rPr>
          <w:rFonts w:ascii="Arial" w:cs="Arial" w:eastAsia="Arial" w:hAnsi="Arial"/>
          <w:sz w:val="18"/>
          <w:szCs w:val="18"/>
          <w:b w:val="1"/>
          <w:bCs w:val="1"/>
          <w:color w:val="auto"/>
        </w:rPr>
        <w:t xml:space="preserve"> </w:t>
      </w:r>
      <w:r>
        <w:rPr>
          <w:rFonts w:ascii="Arial" w:cs="Arial" w:eastAsia="Arial" w:hAnsi="Arial"/>
          <w:sz w:val="18"/>
          <w:szCs w:val="18"/>
          <w:color w:val="auto"/>
        </w:rPr>
        <w:t>per share corresponding to the third quarter 2017. The dividend will be paid on November 21, 2017, to stockholders registered as of November 1, 2017.</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00" w:lineRule="exact"/>
        <w:rPr>
          <w:sz w:val="20"/>
          <w:szCs w:val="20"/>
          <w:color w:val="auto"/>
        </w:rPr>
      </w:pPr>
    </w:p>
    <w:p>
      <w:pPr>
        <w:spacing w:after="0" w:line="24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157480</wp:posOffset>
            </wp:positionH>
            <wp:positionV relativeFrom="page">
              <wp:posOffset>586105</wp:posOffset>
            </wp:positionV>
            <wp:extent cx="6997700" cy="7200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6997700" cy="7200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line="277"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Total operating expenses includes the following expenses line items of the consolidated statements of profit or loss: salaries and other employee expenses, depreciation of equipment and leasehold improvements, amortization of intangible assets, and other expenses.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income.</w:t>
      </w:r>
    </w:p>
    <w:p>
      <w:pPr>
        <w:spacing w:after="0" w:line="225" w:lineRule="exact"/>
        <w:rPr>
          <w:rFonts w:ascii="Arial" w:cs="Arial" w:eastAsia="Arial" w:hAnsi="Arial"/>
          <w:sz w:val="18"/>
          <w:szCs w:val="18"/>
          <w:color w:val="auto"/>
        </w:rPr>
      </w:pPr>
    </w:p>
    <w:p>
      <w:pPr>
        <w:jc w:val="both"/>
        <w:ind w:left="660" w:hanging="328"/>
        <w:spacing w:after="0" w:line="264"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at amortized cost (or the “Loan Portfolio”), loan commitments and financial guarantee contracts, such as confirmed and stand-by letters of credit, and guarantees covering commercial risk; and other assets consisting of customers’ liabilities under acceptances.</w:t>
      </w:r>
    </w:p>
    <w:p>
      <w:pPr>
        <w:spacing w:after="0" w:line="181"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hanging="328"/>
        <w:spacing w:after="0" w:line="264"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FVOCI.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Loan Portfolio refers to gross loans at amortized cost.</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43" w:lineRule="exact"/>
        <w:rPr>
          <w:sz w:val="20"/>
          <w:szCs w:val="20"/>
          <w:color w:val="auto"/>
        </w:rPr>
      </w:pPr>
    </w:p>
    <w:p>
      <w:pPr>
        <w:jc w:val="both"/>
        <w:ind w:left="220" w:right="20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The Bank wishes to ensure that such statements are accompanied by meaningful cautionary statements pursuant to the safe harbor established by the Private Securities Litigation Reform Act of 1995. The forward-looking statements in this press release refer to the growth of the credit portfolio, including the trade portfolio, the increase in the number of the Bank’s corporate clients, the positive trend of lending spreads, the increase in activities engaged in by the Bank that are derived from the Bank’s client base, anticipated operating profit and return on equity in future periods, including income derived from the Treasury Business Segment, the improvement in the financial and performance strength of the Bank and the progress the Bank is making. These forward-looking statements reflect the expectations of the Bank’s management and are based on currently available data; however, actual experience with respect to these factors is subject to future events and uncertainties, which could materially impact the Bank’s expectations. Among the factors that can cause actual performance and results to differ materially are as follows: the anticipated growth of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-1948180</wp:posOffset>
            </wp:positionV>
            <wp:extent cx="7246620" cy="19380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1938020"/>
                    </a:xfrm>
                    <a:prstGeom prst="rect">
                      <a:avLst/>
                    </a:prstGeom>
                    <a:noFill/>
                  </pic:spPr>
                </pic:pic>
              </a:graphicData>
            </a:graphic>
          </wp:anchor>
        </w:drawing>
      </w:r>
    </w:p>
    <w:p>
      <w:pPr>
        <w:spacing w:after="0" w:line="200" w:lineRule="exact"/>
        <w:rPr>
          <w:sz w:val="20"/>
          <w:szCs w:val="20"/>
          <w:color w:val="auto"/>
        </w:rPr>
      </w:pPr>
    </w:p>
    <w:p>
      <w:pPr>
        <w:spacing w:after="0" w:line="39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183515</wp:posOffset>
            </wp:positionH>
            <wp:positionV relativeFrom="page">
              <wp:posOffset>448945</wp:posOffset>
            </wp:positionV>
            <wp:extent cx="6997700" cy="7200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6997700" cy="720090"/>
                    </a:xfrm>
                    <a:prstGeom prst="rect">
                      <a:avLst/>
                    </a:prstGeom>
                    <a:noFill/>
                  </pic:spPr>
                </pic:pic>
              </a:graphicData>
            </a:graphic>
          </wp:anchor>
        </w:drawing>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a multinational bank originally established by the central banks of Latin-American and Caribbean countries, initiated operations in 1979 to promote foreign trade finance and economic integration in the Region. The Bank, headquartered in Panama, operates throughout the Region with offices in Argentina, Brazil, Colombia, Mexico, Peru, and the United States of America, to support the expansion and servicing of its client base, which includes financial institutions and corporations. Through September 30, 2017, Bladex had disbursed accumulated credits of approximately $254 billion.</w:t>
      </w:r>
    </w:p>
    <w:p>
      <w:pPr>
        <w:spacing w:after="0" w:line="17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state-owned banks and entities representing 23 Latin American countries, as well as commercial banks and financial institutions,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There will be a conference call to discuss the Bank’s quarterly results on Friday, October 20, 2017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http://www.bladex.com. The webcast presentation is available for viewing and downloads on </w:t>
      </w:r>
      <w:r>
        <w:rPr>
          <w:rFonts w:ascii="Arial" w:cs="Arial" w:eastAsia="Arial" w:hAnsi="Arial"/>
          <w:sz w:val="18"/>
          <w:szCs w:val="18"/>
          <w:u w:val="single" w:color="auto"/>
          <w:color w:val="0000FF"/>
        </w:rPr>
        <w:t>http://www.bladex.com</w:t>
      </w:r>
      <w:r>
        <w:rPr>
          <w:rFonts w:ascii="Arial" w:cs="Arial" w:eastAsia="Arial" w:hAnsi="Arial"/>
          <w:sz w:val="18"/>
          <w:szCs w:val="18"/>
          <w:color w:val="auto"/>
        </w:rPr>
        <w:t>.</w:t>
      </w:r>
    </w:p>
    <w:p>
      <w:pPr>
        <w:spacing w:after="0" w:line="187"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6" w:lineRule="exact"/>
        <w:rPr>
          <w:sz w:val="20"/>
          <w:szCs w:val="20"/>
          <w:color w:val="auto"/>
        </w:rPr>
      </w:pPr>
    </w:p>
    <w:p>
      <w:pPr>
        <w:ind w:right="4320" w:firstLine="8"/>
        <w:spacing w:after="0" w:line="492" w:lineRule="auto"/>
        <w:tabs>
          <w:tab w:leader="none" w:pos="435" w:val="left"/>
        </w:tabs>
        <w:numPr>
          <w:ilvl w:val="0"/>
          <w:numId w:val="8"/>
        </w:numPr>
        <w:rPr>
          <w:rFonts w:ascii="Arial" w:cs="Arial" w:eastAsia="Arial" w:hAnsi="Arial"/>
          <w:sz w:val="18"/>
          <w:szCs w:val="18"/>
          <w:color w:val="auto"/>
        </w:rPr>
      </w:pPr>
      <w:r>
        <w:rPr>
          <w:rFonts w:ascii="Arial" w:cs="Arial" w:eastAsia="Arial" w:hAnsi="Arial"/>
          <w:sz w:val="18"/>
          <w:szCs w:val="18"/>
          <w:color w:val="auto"/>
        </w:rPr>
        <w:t>919-4059 or (334) 323-0140, and follow the instructions. The replay passcode is: 75153522. For more information, please access http://www.bladex.com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 Christopher Schech</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+507 210-8630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cschech@bladex.com</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Mrs. Irma Garrido Arango</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SVP, Corporate Development and Investor Relations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+507 210-8559</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igarrido@bladex.com</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Bladex</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Business Park Torre V, Piso 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Avenida La Rotonda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Urbanización Costa del Este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City,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2809240</wp:posOffset>
            </wp:positionH>
            <wp:positionV relativeFrom="paragraph">
              <wp:posOffset>142875</wp:posOffset>
            </wp:positionV>
            <wp:extent cx="1612265" cy="10375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161226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38E1F29"/>
    <w:multiLevelType w:val="hybridMultilevel"/>
    <w:lvl w:ilvl="0">
      <w:lvlJc w:val="left"/>
      <w:lvlText w:val="·"/>
      <w:numFmt w:val="bullet"/>
      <w:start w:val="1"/>
    </w:lvl>
  </w:abstractNum>
  <w:abstractNum w:abstractNumId="1">
    <w:nsid w:val="46E87CCD"/>
    <w:multiLevelType w:val="hybridMultilevel"/>
    <w:lvl w:ilvl="0">
      <w:lvlJc w:val="left"/>
      <w:lvlText w:val="·"/>
      <w:numFmt w:val="bullet"/>
      <w:start w:val="1"/>
    </w:lvl>
  </w:abstractNum>
  <w:abstractNum w:abstractNumId="2">
    <w:nsid w:val="3D1B58BA"/>
    <w:multiLevelType w:val="hybridMultilevel"/>
    <w:lvl w:ilvl="0">
      <w:lvlJc w:val="left"/>
      <w:lvlText w:val="·"/>
      <w:numFmt w:val="bullet"/>
      <w:start w:val="1"/>
    </w:lvl>
  </w:abstractNum>
  <w:abstractNum w:abstractNumId="3">
    <w:nsid w:val="507ED7AB"/>
    <w:multiLevelType w:val="hybridMultilevel"/>
    <w:lvl w:ilvl="0">
      <w:lvlJc w:val="left"/>
      <w:lvlText w:val="·"/>
      <w:numFmt w:val="bullet"/>
      <w:start w:val="1"/>
    </w:lvl>
  </w:abstractNum>
  <w:abstractNum w:abstractNumId="4">
    <w:nsid w:val="2EB141F2"/>
    <w:multiLevelType w:val="hybridMultilevel"/>
    <w:lvl w:ilvl="0">
      <w:lvlJc w:val="left"/>
      <w:lvlText w:val="§"/>
      <w:numFmt w:val="bullet"/>
      <w:start w:val="1"/>
    </w:lvl>
  </w:abstractNum>
  <w:abstractNum w:abstractNumId="5">
    <w:nsid w:val="41B71EFB"/>
    <w:multiLevelType w:val="hybridMultilevel"/>
    <w:lvl w:ilvl="0">
      <w:lvlJc w:val="left"/>
      <w:lvlText w:val="-"/>
      <w:numFmt w:val="bullet"/>
      <w:start w:val="1"/>
    </w:lvl>
  </w:abstractNum>
  <w:abstractNum w:abstractNumId="6">
    <w:nsid w:val="79E2A9E3"/>
    <w:multiLevelType w:val="hybridMultilevel"/>
    <w:lvl w:ilvl="0">
      <w:lvlJc w:val="left"/>
      <w:lvlText w:val="%1)"/>
      <w:numFmt w:val="decimal"/>
      <w:start w:val="1"/>
    </w:lvl>
  </w:abstractNum>
  <w:abstractNum w:abstractNumId="7">
    <w:nsid w:val="7545E146"/>
    <w:multiLevelType w:val="hybridMultilevel"/>
    <w:lvl w:ilvl="0">
      <w:lvlJc w:val="left"/>
      <w:lvlText w:val="(%1)"/>
      <w:numFmt w:val="decimal"/>
      <w:start w:val="877"/>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2020-01-18T13:56:56Z</dcterms:created>
  <dcterms:modified xsi:type="dcterms:W3CDTF">2020-01-18T13:56:56Z</dcterms:modified>
</cp:coreProperties>
</file>